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AE4E" w14:textId="3855EB80" w:rsidR="00DD00F0" w:rsidRDefault="00DD00F0">
      <w:r>
        <w:t>Equipment:</w:t>
      </w:r>
    </w:p>
    <w:p w14:paraId="53384DA3" w14:textId="29F335DA" w:rsidR="00DD00F0" w:rsidRDefault="00781FD3">
      <w:r>
        <w:t>List the major equipment in your lab and surrounding areas/department that will be used in your research.</w:t>
      </w:r>
    </w:p>
    <w:p w14:paraId="1E3989F6" w14:textId="77777777" w:rsidR="00DD00F0" w:rsidRDefault="00DD00F0"/>
    <w:p w14:paraId="1EBBFA95" w14:textId="12889E9C" w:rsidR="00580345" w:rsidRDefault="00915622">
      <w:r>
        <w:t>Equipment in Core Facilities</w:t>
      </w:r>
      <w:r w:rsidR="00DD00F0">
        <w:t xml:space="preserve"> – only list what is relevant to your research.</w:t>
      </w:r>
    </w:p>
    <w:p w14:paraId="2BD5F63E" w14:textId="4A546AD6" w:rsidR="00915622" w:rsidRDefault="00915622"/>
    <w:p w14:paraId="35B6B6B4" w14:textId="7265C1C3" w:rsidR="00AA4E8B" w:rsidRPr="00781FD3" w:rsidRDefault="009D281C">
      <w:pPr>
        <w:rPr>
          <w:b/>
          <w:u w:val="single"/>
        </w:rPr>
      </w:pPr>
      <w:r w:rsidRPr="00781FD3">
        <w:rPr>
          <w:b/>
          <w:u w:val="single"/>
        </w:rPr>
        <w:t>DNA sequencing/Genomics Core Facility</w:t>
      </w:r>
    </w:p>
    <w:p w14:paraId="12A38877" w14:textId="3D8BD9C7" w:rsidR="009D281C" w:rsidRPr="009D281C" w:rsidRDefault="009D281C" w:rsidP="009D281C">
      <w:r w:rsidRPr="009D281C">
        <w:t xml:space="preserve">Illumina </w:t>
      </w:r>
      <w:proofErr w:type="spellStart"/>
      <w:r w:rsidRPr="009D281C">
        <w:t>MiSeq</w:t>
      </w:r>
      <w:proofErr w:type="spellEnd"/>
      <w:r w:rsidRPr="009D281C">
        <w:t xml:space="preserve"> Next-Generation Sequencer</w:t>
      </w:r>
      <w:r>
        <w:t xml:space="preserve">. </w:t>
      </w:r>
    </w:p>
    <w:p w14:paraId="26B6E5EB" w14:textId="392E7E96" w:rsidR="009D281C" w:rsidRPr="009D281C" w:rsidRDefault="009D281C" w:rsidP="009D281C">
      <w:pPr>
        <w:rPr>
          <w:b/>
          <w:bCs/>
        </w:rPr>
      </w:pPr>
      <w:r w:rsidRPr="009D281C">
        <w:rPr>
          <w:b/>
          <w:bCs/>
        </w:rPr>
        <w:t>Applications:</w:t>
      </w:r>
    </w:p>
    <w:p w14:paraId="519F340C" w14:textId="77777777" w:rsidR="009D281C" w:rsidRPr="009D281C" w:rsidRDefault="009D281C" w:rsidP="009D281C">
      <w:pPr>
        <w:numPr>
          <w:ilvl w:val="0"/>
          <w:numId w:val="1"/>
        </w:numPr>
      </w:pPr>
      <w:r w:rsidRPr="009D281C">
        <w:t>small genome resequencing</w:t>
      </w:r>
    </w:p>
    <w:p w14:paraId="639C9BBB" w14:textId="77777777" w:rsidR="009D281C" w:rsidRPr="009D281C" w:rsidRDefault="009D281C" w:rsidP="009D281C">
      <w:pPr>
        <w:numPr>
          <w:ilvl w:val="0"/>
          <w:numId w:val="1"/>
        </w:numPr>
      </w:pPr>
      <w:r w:rsidRPr="009D281C">
        <w:rPr>
          <w:i/>
          <w:iCs/>
        </w:rPr>
        <w:t>de novo</w:t>
      </w:r>
      <w:r w:rsidRPr="009D281C">
        <w:t> sequencing and assembly of clinical isolates and other unknowns</w:t>
      </w:r>
    </w:p>
    <w:p w14:paraId="0A0F39F1" w14:textId="77777777" w:rsidR="009D281C" w:rsidRPr="009D281C" w:rsidRDefault="009D281C" w:rsidP="009D281C">
      <w:pPr>
        <w:numPr>
          <w:ilvl w:val="0"/>
          <w:numId w:val="1"/>
        </w:numPr>
      </w:pPr>
      <w:r w:rsidRPr="009D281C">
        <w:t>small RNA profiling</w:t>
      </w:r>
    </w:p>
    <w:p w14:paraId="052E8056" w14:textId="77777777" w:rsidR="009D281C" w:rsidRPr="009D281C" w:rsidRDefault="009D281C" w:rsidP="009D281C">
      <w:pPr>
        <w:numPr>
          <w:ilvl w:val="0"/>
          <w:numId w:val="1"/>
        </w:numPr>
      </w:pPr>
      <w:r w:rsidRPr="009D281C">
        <w:t>whole transcriptome analysis</w:t>
      </w:r>
    </w:p>
    <w:p w14:paraId="63FE160B" w14:textId="77777777" w:rsidR="009D281C" w:rsidRPr="009D281C" w:rsidRDefault="009D281C" w:rsidP="009D281C">
      <w:pPr>
        <w:numPr>
          <w:ilvl w:val="0"/>
          <w:numId w:val="1"/>
        </w:numPr>
      </w:pPr>
      <w:r w:rsidRPr="009D281C">
        <w:t>microbial community studies using multiplexed 16s amplicon pools</w:t>
      </w:r>
    </w:p>
    <w:p w14:paraId="25A083AE" w14:textId="77777777" w:rsidR="009D281C" w:rsidRPr="009D281C" w:rsidRDefault="009D281C" w:rsidP="009D281C">
      <w:pPr>
        <w:numPr>
          <w:ilvl w:val="0"/>
          <w:numId w:val="1"/>
        </w:numPr>
      </w:pPr>
      <w:proofErr w:type="spellStart"/>
      <w:r w:rsidRPr="009D281C">
        <w:t>TruSeq</w:t>
      </w:r>
      <w:proofErr w:type="spellEnd"/>
      <w:r w:rsidRPr="009D281C">
        <w:t xml:space="preserve"> amplicon Cancer panels (48 gene validated panel)</w:t>
      </w:r>
    </w:p>
    <w:p w14:paraId="19E88254" w14:textId="77777777" w:rsidR="009D281C" w:rsidRPr="009D281C" w:rsidRDefault="009D281C" w:rsidP="009D281C">
      <w:pPr>
        <w:numPr>
          <w:ilvl w:val="0"/>
          <w:numId w:val="1"/>
        </w:numPr>
      </w:pPr>
      <w:proofErr w:type="spellStart"/>
      <w:r w:rsidRPr="009D281C">
        <w:t>ChIP-Seq</w:t>
      </w:r>
      <w:proofErr w:type="spellEnd"/>
    </w:p>
    <w:p w14:paraId="44B32209" w14:textId="2536DC19" w:rsidR="009D281C" w:rsidRDefault="009D281C"/>
    <w:p w14:paraId="6318A0A2" w14:textId="3CBE9319" w:rsidR="009D281C" w:rsidRDefault="009D281C" w:rsidP="001C74FA">
      <w:r w:rsidRPr="009D281C">
        <w:t>96-capillary 3730xl DNA Analyzer</w:t>
      </w:r>
      <w:r w:rsidR="00AA4E8B">
        <w:t xml:space="preserve"> </w:t>
      </w:r>
      <w:r>
        <w:t>used</w:t>
      </w:r>
      <w:r w:rsidRPr="009D281C">
        <w:t xml:space="preserve"> for DNA fragment analysis applications such as microsatellites, AFLP, SNP analysis, mutation detection and traditional DNA sequencing. </w:t>
      </w:r>
    </w:p>
    <w:p w14:paraId="4E9B05F4" w14:textId="2C405183" w:rsidR="009D281C" w:rsidRDefault="009D281C" w:rsidP="009D281C"/>
    <w:p w14:paraId="05C8EAB9" w14:textId="2E021010" w:rsidR="009D281C" w:rsidRPr="009D281C" w:rsidRDefault="009D281C" w:rsidP="009D281C">
      <w:r w:rsidRPr="009D281C">
        <w:t>Agilent 2100 Bioanalyzer is a microfluids-based platform replacing standard gel electrophoresis for RNA sample QC, DNA fragment analysis, and SDS-page electrophoresis for proteins.</w:t>
      </w:r>
    </w:p>
    <w:p w14:paraId="0F39949A" w14:textId="202EEF23" w:rsidR="009D281C" w:rsidRPr="009D281C" w:rsidRDefault="009D281C" w:rsidP="009D281C">
      <w:pPr>
        <w:rPr>
          <w:b/>
          <w:bCs/>
        </w:rPr>
      </w:pPr>
      <w:r w:rsidRPr="009D281C">
        <w:rPr>
          <w:b/>
          <w:bCs/>
        </w:rPr>
        <w:t>Applications:</w:t>
      </w:r>
    </w:p>
    <w:p w14:paraId="2F068E92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Check RNA integrity for downstream applications</w:t>
      </w:r>
    </w:p>
    <w:p w14:paraId="29983A7A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Genomic and ribosomal contamination of mRNA samples</w:t>
      </w:r>
    </w:p>
    <w:p w14:paraId="50082014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 xml:space="preserve">Small RNA (6-150 </w:t>
      </w:r>
      <w:proofErr w:type="spellStart"/>
      <w:r w:rsidRPr="009D281C">
        <w:t>nt</w:t>
      </w:r>
      <w:proofErr w:type="spellEnd"/>
      <w:r w:rsidRPr="009D281C">
        <w:t>) analysis of miRNA, siRNA, and oligonucleotides</w:t>
      </w:r>
    </w:p>
    <w:p w14:paraId="62C37D39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Sizing of T7-RNA transcripts</w:t>
      </w:r>
    </w:p>
    <w:p w14:paraId="00A7EB5F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PCR product purity and size</w:t>
      </w:r>
    </w:p>
    <w:p w14:paraId="44FD520F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Restriction digests</w:t>
      </w:r>
    </w:p>
    <w:p w14:paraId="4541EC48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Protein induction in cell lysates</w:t>
      </w:r>
    </w:p>
    <w:p w14:paraId="0D125B81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Protein purification</w:t>
      </w:r>
    </w:p>
    <w:p w14:paraId="144D1312" w14:textId="77777777" w:rsidR="009D281C" w:rsidRPr="009D281C" w:rsidRDefault="009D281C" w:rsidP="009D281C">
      <w:pPr>
        <w:numPr>
          <w:ilvl w:val="0"/>
          <w:numId w:val="3"/>
        </w:numPr>
      </w:pPr>
      <w:r w:rsidRPr="009D281C">
        <w:t>Glycoprotein sizing</w:t>
      </w:r>
    </w:p>
    <w:p w14:paraId="75EB989D" w14:textId="77777777" w:rsidR="009D281C" w:rsidRPr="009D281C" w:rsidRDefault="009D281C" w:rsidP="009D281C"/>
    <w:p w14:paraId="3F88F930" w14:textId="77777777" w:rsidR="009D281C" w:rsidRPr="009D281C" w:rsidRDefault="009D281C" w:rsidP="009D281C">
      <w:proofErr w:type="spellStart"/>
      <w:r w:rsidRPr="009D281C">
        <w:t>NanoDrop</w:t>
      </w:r>
      <w:proofErr w:type="spellEnd"/>
      <w:r w:rsidRPr="009D281C">
        <w:t xml:space="preserve"> Nucleic Acid and Protein Quantitation</w:t>
      </w:r>
    </w:p>
    <w:p w14:paraId="44A66EF8" w14:textId="332003F3" w:rsidR="009D281C" w:rsidRDefault="009D281C"/>
    <w:p w14:paraId="07EDCFB9" w14:textId="25AED6BC" w:rsidR="009D281C" w:rsidRPr="009D281C" w:rsidRDefault="009D281C" w:rsidP="009D281C">
      <w:r w:rsidRPr="009D281C">
        <w:t>Nan</w:t>
      </w:r>
      <w:r w:rsidR="009709BF">
        <w:t xml:space="preserve">: </w:t>
      </w:r>
      <w:proofErr w:type="spellStart"/>
      <w:r w:rsidRPr="009D281C">
        <w:t>oString</w:t>
      </w:r>
      <w:proofErr w:type="spellEnd"/>
      <w:r w:rsidRPr="009D281C">
        <w:t xml:space="preserve"> Counter SPRINT profiler uses a molecular barcode technology that allows researchers to digitally examine multiple pathways in a single tube in an extraction-free workflow.  </w:t>
      </w:r>
      <w:proofErr w:type="spellStart"/>
      <w:r w:rsidRPr="009D281C">
        <w:t>NanoString</w:t>
      </w:r>
      <w:proofErr w:type="spellEnd"/>
      <w:r w:rsidRPr="009D281C">
        <w:t xml:space="preserve"> assays eliminate cDNA synthesis, </w:t>
      </w:r>
      <w:proofErr w:type="gramStart"/>
      <w:r w:rsidRPr="009D281C">
        <w:t>amplification ,</w:t>
      </w:r>
      <w:proofErr w:type="gramEnd"/>
      <w:r w:rsidRPr="009D281C">
        <w:t xml:space="preserve"> and library prep which reduces technical variation.  Analysis software is free for all users and can be installed on any computer.</w:t>
      </w:r>
    </w:p>
    <w:p w14:paraId="6E445BDD" w14:textId="61EC8FB2" w:rsidR="009D281C" w:rsidRDefault="009D281C"/>
    <w:p w14:paraId="6F857B8E" w14:textId="34FC667E" w:rsidR="009D281C" w:rsidRPr="009D281C" w:rsidRDefault="009D281C" w:rsidP="009D281C">
      <w:r w:rsidRPr="009D281C">
        <w:t>High Throughput PCR</w:t>
      </w:r>
      <w:r>
        <w:t xml:space="preserve"> machines</w:t>
      </w:r>
    </w:p>
    <w:p w14:paraId="4B517C46" w14:textId="75BEFA0F" w:rsidR="009D281C" w:rsidRDefault="009D281C"/>
    <w:p w14:paraId="3A8C1819" w14:textId="77777777" w:rsidR="00781FD3" w:rsidRDefault="00781FD3">
      <w:bookmarkStart w:id="0" w:name="_GoBack"/>
      <w:bookmarkEnd w:id="0"/>
    </w:p>
    <w:p w14:paraId="1FC79F23" w14:textId="77777777" w:rsidR="009709BF" w:rsidRPr="00781FD3" w:rsidRDefault="009709BF" w:rsidP="009709BF">
      <w:pPr>
        <w:rPr>
          <w:b/>
          <w:u w:val="single"/>
        </w:rPr>
      </w:pPr>
      <w:r w:rsidRPr="00781FD3">
        <w:rPr>
          <w:b/>
          <w:u w:val="single"/>
        </w:rPr>
        <w:t>Flow Cytometry and Imaging Core Facility</w:t>
      </w:r>
    </w:p>
    <w:p w14:paraId="0C10538B" w14:textId="6F68BA7F" w:rsidR="009709BF" w:rsidRPr="009709BF" w:rsidRDefault="009709BF" w:rsidP="009709BF">
      <w:r>
        <w:t>Equipment includes</w:t>
      </w:r>
    </w:p>
    <w:p w14:paraId="37523832" w14:textId="62440FE1" w:rsidR="009709BF" w:rsidRPr="009709BF" w:rsidRDefault="009709BF" w:rsidP="009709BF">
      <w:pPr>
        <w:ind w:left="360"/>
      </w:pPr>
      <w:r>
        <w:t xml:space="preserve">Flow </w:t>
      </w:r>
      <w:proofErr w:type="spellStart"/>
      <w:r>
        <w:t>Cytomtry</w:t>
      </w:r>
      <w:proofErr w:type="spellEnd"/>
      <w:r>
        <w:t xml:space="preserve">: </w:t>
      </w:r>
      <w:proofErr w:type="spellStart"/>
      <w:r w:rsidRPr="009709BF">
        <w:t>Stratedigm</w:t>
      </w:r>
      <w:proofErr w:type="spellEnd"/>
      <w:r w:rsidRPr="009709BF">
        <w:t xml:space="preserve"> 3-Laser</w:t>
      </w:r>
      <w:r>
        <w:t xml:space="preserve">, </w:t>
      </w:r>
      <w:proofErr w:type="spellStart"/>
      <w:r w:rsidRPr="009709BF">
        <w:t>Stratedigm</w:t>
      </w:r>
      <w:proofErr w:type="spellEnd"/>
      <w:r w:rsidRPr="009709BF">
        <w:t xml:space="preserve"> 4-Laser</w:t>
      </w:r>
      <w:r>
        <w:t xml:space="preserve">, </w:t>
      </w:r>
      <w:proofErr w:type="spellStart"/>
      <w:r w:rsidRPr="009709BF">
        <w:t>FACSCalibur</w:t>
      </w:r>
      <w:proofErr w:type="spellEnd"/>
      <w:r>
        <w:t xml:space="preserve">, </w:t>
      </w:r>
      <w:proofErr w:type="spellStart"/>
      <w:r w:rsidRPr="009709BF">
        <w:t>FACSAria</w:t>
      </w:r>
      <w:proofErr w:type="spellEnd"/>
      <w:r w:rsidRPr="009709BF">
        <w:t xml:space="preserve"> Fusion</w:t>
      </w:r>
    </w:p>
    <w:p w14:paraId="37F0606D" w14:textId="77777777" w:rsidR="009709BF" w:rsidRDefault="009709BF" w:rsidP="009709BF">
      <w:pPr>
        <w:ind w:left="360"/>
      </w:pPr>
      <w:proofErr w:type="spellStart"/>
      <w:r w:rsidRPr="009709BF">
        <w:t>FACSJazz</w:t>
      </w:r>
      <w:proofErr w:type="spellEnd"/>
    </w:p>
    <w:p w14:paraId="4B80F68B" w14:textId="77777777" w:rsidR="009709BF" w:rsidRDefault="009709BF" w:rsidP="009709BF">
      <w:pPr>
        <w:ind w:left="360"/>
      </w:pPr>
    </w:p>
    <w:p w14:paraId="7C432EE1" w14:textId="77777777" w:rsidR="007259A5" w:rsidRPr="007259A5" w:rsidRDefault="009709BF" w:rsidP="007259A5">
      <w:pPr>
        <w:ind w:left="360"/>
      </w:pPr>
      <w:r>
        <w:t xml:space="preserve">Microscopes: </w:t>
      </w:r>
      <w:r w:rsidRPr="009709BF">
        <w:t>Leica SP2 Confocal</w:t>
      </w:r>
      <w:r>
        <w:t xml:space="preserve">, </w:t>
      </w:r>
      <w:r w:rsidRPr="009709BF">
        <w:t>Leica SP8 Confocal</w:t>
      </w:r>
      <w:r>
        <w:t xml:space="preserve">, </w:t>
      </w:r>
      <w:r w:rsidRPr="009709BF">
        <w:t>Nikon TE2000-E</w:t>
      </w:r>
      <w:r>
        <w:t xml:space="preserve">, </w:t>
      </w:r>
      <w:r w:rsidRPr="009709BF">
        <w:t>Bio-Plex 200</w:t>
      </w:r>
      <w:r w:rsidR="007259A5">
        <w:t xml:space="preserve"> and </w:t>
      </w:r>
      <w:r w:rsidR="007259A5" w:rsidRPr="007259A5">
        <w:t>Leica LMD7 Laser Microdissection Microscope</w:t>
      </w:r>
    </w:p>
    <w:p w14:paraId="0C5DF315" w14:textId="764D7758" w:rsidR="009709BF" w:rsidRPr="009709BF" w:rsidRDefault="009709BF" w:rsidP="009709BF">
      <w:pPr>
        <w:ind w:left="360"/>
      </w:pPr>
    </w:p>
    <w:p w14:paraId="2BDFD2EB" w14:textId="062183A9" w:rsidR="009709BF" w:rsidRDefault="009709BF"/>
    <w:p w14:paraId="5F997741" w14:textId="77777777" w:rsidR="005D22ED" w:rsidRDefault="005D22ED"/>
    <w:p w14:paraId="77468210" w14:textId="77777777" w:rsidR="005D22ED" w:rsidRDefault="005D22ED"/>
    <w:p w14:paraId="4EC49601" w14:textId="1D80F512" w:rsidR="007761B7" w:rsidRPr="00781FD3" w:rsidRDefault="007761B7">
      <w:pPr>
        <w:rPr>
          <w:b/>
          <w:u w:val="single"/>
        </w:rPr>
      </w:pPr>
      <w:r w:rsidRPr="00781FD3">
        <w:rPr>
          <w:b/>
          <w:u w:val="single"/>
        </w:rPr>
        <w:t>Mass Spectrometry/Proteomics Core Facility</w:t>
      </w:r>
    </w:p>
    <w:p w14:paraId="1E907982" w14:textId="47FC7A69" w:rsidR="005D22ED" w:rsidRPr="005D22ED" w:rsidRDefault="005D22ED" w:rsidP="005D22ED">
      <w:r w:rsidRPr="005D22ED">
        <w:t xml:space="preserve">The instrumentation available for mass spectrometry services includes an </w:t>
      </w:r>
      <w:proofErr w:type="spellStart"/>
      <w:r w:rsidRPr="005D22ED">
        <w:t>ABSciex</w:t>
      </w:r>
      <w:proofErr w:type="spellEnd"/>
      <w:r w:rsidRPr="005D22ED">
        <w:t xml:space="preserve"> QSTAR Elite hybrid quadrupole/TOF mass spectrometer, a Bruker-</w:t>
      </w:r>
      <w:proofErr w:type="spellStart"/>
      <w:r w:rsidRPr="005D22ED">
        <w:t>Daltonics</w:t>
      </w:r>
      <w:proofErr w:type="spellEnd"/>
      <w:r w:rsidRPr="005D22ED">
        <w:t xml:space="preserve"> HCT Ultra ion trap mass spectrometer, a Bruker </w:t>
      </w:r>
      <w:proofErr w:type="spellStart"/>
      <w:r w:rsidRPr="005D22ED">
        <w:t>Daltonics</w:t>
      </w:r>
      <w:proofErr w:type="spellEnd"/>
      <w:r w:rsidRPr="005D22ED">
        <w:t xml:space="preserve"> – Ultraflex-2 MALDI-TOF, and a </w:t>
      </w:r>
      <w:proofErr w:type="gramStart"/>
      <w:r w:rsidRPr="005D22ED">
        <w:t xml:space="preserve">Waters </w:t>
      </w:r>
      <w:proofErr w:type="spellStart"/>
      <w:r w:rsidRPr="005D22ED">
        <w:t>Synapt</w:t>
      </w:r>
      <w:proofErr w:type="spellEnd"/>
      <w:r w:rsidRPr="005D22ED">
        <w:t xml:space="preserve"> G2-S High Definition mass spectrometers</w:t>
      </w:r>
      <w:proofErr w:type="gramEnd"/>
      <w:r w:rsidRPr="005D22ED">
        <w:t xml:space="preserve">. Several of our mass spectrometers are coupled to HPLC instruments which allows us to provide additional applications to our researchers.  The </w:t>
      </w:r>
      <w:proofErr w:type="spellStart"/>
      <w:r w:rsidRPr="005D22ED">
        <w:t>QStar</w:t>
      </w:r>
      <w:proofErr w:type="spellEnd"/>
      <w:r w:rsidRPr="005D22ED">
        <w:t xml:space="preserve"> and the Bruker HCT ion trap are paired to 1D LC systems (</w:t>
      </w:r>
      <w:proofErr w:type="spellStart"/>
      <w:r w:rsidRPr="005D22ED">
        <w:t>Dionex</w:t>
      </w:r>
      <w:proofErr w:type="spellEnd"/>
      <w:r w:rsidRPr="005D22ED">
        <w:t xml:space="preserve"> Ultimate 3000 and </w:t>
      </w:r>
      <w:proofErr w:type="spellStart"/>
      <w:r w:rsidRPr="005D22ED">
        <w:t>Michrom</w:t>
      </w:r>
      <w:proofErr w:type="spellEnd"/>
      <w:r w:rsidRPr="005D22ED">
        <w:t xml:space="preserve"> Paradigm, respectively) while the Waters </w:t>
      </w:r>
      <w:proofErr w:type="spellStart"/>
      <w:r w:rsidRPr="005D22ED">
        <w:t>Synapt</w:t>
      </w:r>
      <w:proofErr w:type="spellEnd"/>
      <w:r w:rsidRPr="005D22ED">
        <w:t xml:space="preserve"> is paired to a 2D UPLC (</w:t>
      </w:r>
      <w:proofErr w:type="spellStart"/>
      <w:r w:rsidRPr="005D22ED">
        <w:t>nanoAcquity</w:t>
      </w:r>
      <w:proofErr w:type="spellEnd"/>
      <w:r w:rsidRPr="005D22ED">
        <w:t>) in order to allow processing of more complex proteomic type samples.</w:t>
      </w:r>
    </w:p>
    <w:p w14:paraId="27923EE7" w14:textId="3DB60FDF" w:rsidR="005D22ED" w:rsidRPr="005D22ED" w:rsidRDefault="005D22ED" w:rsidP="005D22ED">
      <w:r w:rsidRPr="005D22ED">
        <w:br/>
      </w:r>
    </w:p>
    <w:p w14:paraId="236F9F10" w14:textId="4782CFD8" w:rsidR="007761B7" w:rsidRDefault="007761B7"/>
    <w:p w14:paraId="006C7D38" w14:textId="47036BE0" w:rsidR="005D22ED" w:rsidRPr="00781FD3" w:rsidRDefault="005D22ED">
      <w:pPr>
        <w:rPr>
          <w:b/>
          <w:u w:val="single"/>
        </w:rPr>
      </w:pPr>
      <w:r w:rsidRPr="00781FD3">
        <w:rPr>
          <w:b/>
          <w:u w:val="single"/>
        </w:rPr>
        <w:t>Laboratory of Biomolecular Structure and Function</w:t>
      </w:r>
    </w:p>
    <w:p w14:paraId="694E5766" w14:textId="77777777" w:rsidR="007259A5" w:rsidRDefault="007259A5"/>
    <w:p w14:paraId="7B055F80" w14:textId="0822FE2D" w:rsidR="005D22ED" w:rsidRPr="005D22ED" w:rsidRDefault="005D22ED" w:rsidP="005D22ED">
      <w:r w:rsidRPr="005D22ED">
        <w:t xml:space="preserve">The laboratory is equipped with </w:t>
      </w:r>
      <w:r>
        <w:t>a range of</w:t>
      </w:r>
      <w:r w:rsidRPr="005D22ED">
        <w:t xml:space="preserve"> crystallographic equipment and computers: A 2015 Rigaku 007 generator, </w:t>
      </w:r>
      <w:proofErr w:type="spellStart"/>
      <w:r w:rsidRPr="005D22ED">
        <w:t>R_axis</w:t>
      </w:r>
      <w:proofErr w:type="spellEnd"/>
      <w:r w:rsidRPr="005D22ED">
        <w:t xml:space="preserve"> IV and Mar345 image plate detectors, Osmic mirrors on both ports, Rigaku and Oxford Systems crystal cooling systems. The R-AXIS IV has an optional helium path for working with large unit cells. </w:t>
      </w:r>
      <w:hyperlink r:id="rId5" w:tgtFrame="_blank" w:tooltip="D-Trek" w:history="1">
        <w:r w:rsidRPr="005D22ED">
          <w:rPr>
            <w:rStyle w:val="Hyperlink"/>
          </w:rPr>
          <w:t>D-Trek</w:t>
        </w:r>
      </w:hyperlink>
      <w:r w:rsidRPr="005D22ED">
        <w:t>, </w:t>
      </w:r>
      <w:hyperlink r:id="rId6" w:tgtFrame="_blank" w:tooltip="XDS" w:history="1">
        <w:r w:rsidRPr="005D22ED">
          <w:rPr>
            <w:rStyle w:val="Hyperlink"/>
          </w:rPr>
          <w:t>XDS</w:t>
        </w:r>
      </w:hyperlink>
      <w:r w:rsidRPr="005D22ED">
        <w:t>, </w:t>
      </w:r>
      <w:proofErr w:type="spellStart"/>
      <w:r w:rsidRPr="005D22ED">
        <w:fldChar w:fldCharType="begin"/>
      </w:r>
      <w:r w:rsidRPr="005D22ED">
        <w:instrText xml:space="preserve"> HYPERLINK "http://www.csb.yale.edu/userguides/datamanip/mosflm/mosflm.html" \o "Mosflm " \t "_blank" </w:instrText>
      </w:r>
      <w:r w:rsidRPr="005D22ED">
        <w:fldChar w:fldCharType="separate"/>
      </w:r>
      <w:r w:rsidRPr="005D22ED">
        <w:rPr>
          <w:rStyle w:val="Hyperlink"/>
        </w:rPr>
        <w:t>Mosflm</w:t>
      </w:r>
      <w:proofErr w:type="spellEnd"/>
      <w:r w:rsidRPr="005D22ED">
        <w:rPr>
          <w:rStyle w:val="Hyperlink"/>
        </w:rPr>
        <w:t> </w:t>
      </w:r>
      <w:r w:rsidRPr="005D22ED">
        <w:fldChar w:fldCharType="end"/>
      </w:r>
      <w:r w:rsidRPr="005D22ED">
        <w:t>and </w:t>
      </w:r>
      <w:hyperlink r:id="rId7" w:tgtFrame="_blank" w:tooltip="HKL2000" w:history="1">
        <w:r w:rsidRPr="005D22ED">
          <w:rPr>
            <w:rStyle w:val="Hyperlink"/>
          </w:rPr>
          <w:t>HKL2000</w:t>
        </w:r>
      </w:hyperlink>
      <w:r w:rsidRPr="005D22ED">
        <w:t> image processing software are available for data processing, Any of the </w:t>
      </w:r>
      <w:hyperlink r:id="rId8" w:tgtFrame="_blank" w:tooltip="Phenix" w:history="1">
        <w:r w:rsidRPr="005D22ED">
          <w:rPr>
            <w:rStyle w:val="Hyperlink"/>
          </w:rPr>
          <w:t>Phenix</w:t>
        </w:r>
      </w:hyperlink>
      <w:r w:rsidRPr="005D22ED">
        <w:t>, </w:t>
      </w:r>
      <w:hyperlink r:id="rId9" w:tgtFrame="_blank" w:tooltip="CCP4" w:history="1">
        <w:r w:rsidRPr="005D22ED">
          <w:rPr>
            <w:rStyle w:val="Hyperlink"/>
          </w:rPr>
          <w:t>CCP4</w:t>
        </w:r>
      </w:hyperlink>
      <w:r w:rsidRPr="005D22ED">
        <w:t>, </w:t>
      </w:r>
      <w:hyperlink r:id="rId10" w:tgtFrame="_blank" w:tooltip="CNS" w:history="1">
        <w:r w:rsidRPr="005D22ED">
          <w:rPr>
            <w:rStyle w:val="Hyperlink"/>
          </w:rPr>
          <w:t>CNS</w:t>
        </w:r>
      </w:hyperlink>
      <w:r w:rsidRPr="005D22ED">
        <w:t> program suites can be used for structure determination and refinement, while </w:t>
      </w:r>
      <w:hyperlink r:id="rId11" w:tgtFrame="_blank" w:tooltip="COOT" w:history="1">
        <w:r w:rsidRPr="005D22ED">
          <w:rPr>
            <w:rStyle w:val="Hyperlink"/>
          </w:rPr>
          <w:t>COOT</w:t>
        </w:r>
      </w:hyperlink>
      <w:r w:rsidRPr="005D22ED">
        <w:t>, </w:t>
      </w:r>
      <w:hyperlink r:id="rId12" w:tgtFrame="_blank" w:tooltip="Chimera" w:history="1">
        <w:r w:rsidRPr="005D22ED">
          <w:rPr>
            <w:rStyle w:val="Hyperlink"/>
          </w:rPr>
          <w:t>Chimera</w:t>
        </w:r>
      </w:hyperlink>
      <w:r w:rsidRPr="005D22ED">
        <w:t> and </w:t>
      </w:r>
      <w:proofErr w:type="spellStart"/>
      <w:r w:rsidRPr="005D22ED">
        <w:fldChar w:fldCharType="begin"/>
      </w:r>
      <w:r w:rsidRPr="005D22ED">
        <w:instrText xml:space="preserve"> HYPERLINK "http://www.csb.yale.edu/userguides/graphics/molmol/molmol_descrip.html" \o "Molmol" \t "_blank" </w:instrText>
      </w:r>
      <w:r w:rsidRPr="005D22ED">
        <w:fldChar w:fldCharType="separate"/>
      </w:r>
      <w:r w:rsidRPr="005D22ED">
        <w:rPr>
          <w:rStyle w:val="Hyperlink"/>
        </w:rPr>
        <w:t>Molmol</w:t>
      </w:r>
      <w:proofErr w:type="spellEnd"/>
      <w:r w:rsidRPr="005D22ED">
        <w:fldChar w:fldCharType="end"/>
      </w:r>
      <w:r w:rsidRPr="005D22ED">
        <w:t xml:space="preserve"> are offered for graphical representation of the results. A 2014 Wyatt plate reading dynamic light scattering instrument that enables high-throughput data collection with no user intervention for evaluation of the oligomerization states </w:t>
      </w:r>
      <w:proofErr w:type="gramStart"/>
      <w:r w:rsidRPr="005D22ED">
        <w:t>of  proteins</w:t>
      </w:r>
      <w:proofErr w:type="gramEnd"/>
      <w:r w:rsidRPr="005D22ED">
        <w:t xml:space="preserve">. A 2018 Art Robbins Gryphon LCP crystallization robot can set up crystallization plates for soluble proteins and for membrane proteins using the </w:t>
      </w:r>
      <w:proofErr w:type="spellStart"/>
      <w:r w:rsidRPr="005D22ED">
        <w:t>lipidic</w:t>
      </w:r>
      <w:proofErr w:type="spellEnd"/>
      <w:r w:rsidRPr="005D22ED">
        <w:t xml:space="preserve"> cubic phase.</w:t>
      </w:r>
    </w:p>
    <w:p w14:paraId="182DBCF2" w14:textId="77777777" w:rsidR="005D22ED" w:rsidRPr="005D22ED" w:rsidRDefault="005D22ED" w:rsidP="005D22ED"/>
    <w:p w14:paraId="22F55421" w14:textId="77777777" w:rsidR="008F4101" w:rsidRPr="00781FD3" w:rsidRDefault="008F4101" w:rsidP="008F4101">
      <w:pPr>
        <w:rPr>
          <w:b/>
          <w:u w:val="single"/>
          <w:lang w:val="en"/>
        </w:rPr>
      </w:pPr>
      <w:proofErr w:type="spellStart"/>
      <w:r w:rsidRPr="00781FD3">
        <w:rPr>
          <w:b/>
          <w:u w:val="single"/>
          <w:lang w:val="en"/>
        </w:rPr>
        <w:t>BioSafety</w:t>
      </w:r>
      <w:proofErr w:type="spellEnd"/>
      <w:r w:rsidRPr="00781FD3">
        <w:rPr>
          <w:b/>
          <w:u w:val="single"/>
          <w:lang w:val="en"/>
        </w:rPr>
        <w:t xml:space="preserve"> Level 3 Facility</w:t>
      </w:r>
    </w:p>
    <w:p w14:paraId="38A94E08" w14:textId="240EDE51" w:rsidR="008F4101" w:rsidRPr="008F4101" w:rsidRDefault="008F4101" w:rsidP="008F4101">
      <w:pPr>
        <w:rPr>
          <w:lang w:val="en"/>
        </w:rPr>
      </w:pPr>
      <w:r>
        <w:rPr>
          <w:lang w:val="en"/>
        </w:rPr>
        <w:t>Th</w:t>
      </w:r>
      <w:r w:rsidRPr="008F4101">
        <w:rPr>
          <w:lang w:val="en"/>
        </w:rPr>
        <w:t>e BSL-3 suite offers two laboratories with a total of 6 class II B2 Biosafety cabinets for in-vitro work with risk group 3 agents or large volume culture (&gt; 10L) work with risk group 1, 2, and 3 agents.</w:t>
      </w:r>
    </w:p>
    <w:p w14:paraId="52234CCA" w14:textId="77777777" w:rsidR="008F4101" w:rsidRPr="008F4101" w:rsidRDefault="008F4101" w:rsidP="008F4101">
      <w:pPr>
        <w:rPr>
          <w:lang w:val="en"/>
        </w:rPr>
      </w:pPr>
      <w:r w:rsidRPr="008F4101">
        <w:rPr>
          <w:lang w:val="en"/>
        </w:rPr>
        <w:t>Equipment available for use in the lab includes: Double set CO</w:t>
      </w:r>
      <w:r w:rsidRPr="008F4101">
        <w:rPr>
          <w:vertAlign w:val="subscript"/>
          <w:lang w:val="en"/>
        </w:rPr>
        <w:t>2</w:t>
      </w:r>
      <w:r w:rsidRPr="008F4101">
        <w:rPr>
          <w:lang w:val="en"/>
        </w:rPr>
        <w:t xml:space="preserve"> incubators (2 sets), Beckman Allegra 64R and Beckman Allegra X-12R refrigerated table top centrifuges, Olympus CKX31 Inverted microscope, Olympus IX71 Inverted microscope and attached camera (DP70) with fluorescent capability, and two table top microfuges.</w:t>
      </w:r>
    </w:p>
    <w:p w14:paraId="2F45D0F4" w14:textId="77777777" w:rsidR="008F4101" w:rsidRPr="008F4101" w:rsidRDefault="008F4101" w:rsidP="008F4101">
      <w:pPr>
        <w:rPr>
          <w:lang w:val="en"/>
        </w:rPr>
      </w:pPr>
      <w:r w:rsidRPr="008F4101">
        <w:rPr>
          <w:lang w:val="en"/>
        </w:rPr>
        <w:t>Support lab space with tissue culture (BSL-2) equipment including class II A2 biosafety cabinet and double stack CO</w:t>
      </w:r>
      <w:r w:rsidRPr="008F4101">
        <w:rPr>
          <w:vertAlign w:val="subscript"/>
          <w:lang w:val="en"/>
        </w:rPr>
        <w:t>2</w:t>
      </w:r>
      <w:r w:rsidRPr="008F4101">
        <w:rPr>
          <w:lang w:val="en"/>
        </w:rPr>
        <w:t xml:space="preserve"> incubators as well as a chemical fume hood and space for solution preparation is also available.</w:t>
      </w:r>
    </w:p>
    <w:p w14:paraId="44DBFCC5" w14:textId="44C74050" w:rsidR="005D22ED" w:rsidRDefault="005D22ED" w:rsidP="008F4101"/>
    <w:p w14:paraId="796B0CEB" w14:textId="2A99C323" w:rsidR="00BB1896" w:rsidRDefault="00BB1896" w:rsidP="00781FD3">
      <w:pPr>
        <w:rPr>
          <w:lang w:val="en"/>
        </w:rPr>
      </w:pPr>
    </w:p>
    <w:p w14:paraId="1ADB9D2B" w14:textId="77777777" w:rsidR="00BB1896" w:rsidRDefault="00BB1896" w:rsidP="00BB1896">
      <w:pPr>
        <w:ind w:left="360"/>
        <w:rPr>
          <w:lang w:val="en"/>
        </w:rPr>
      </w:pPr>
    </w:p>
    <w:p w14:paraId="76292F98" w14:textId="28559196" w:rsidR="00BB1896" w:rsidRPr="004C19F9" w:rsidRDefault="00781FD3" w:rsidP="00781FD3">
      <w:pPr>
        <w:rPr>
          <w:b/>
          <w:bCs/>
        </w:rPr>
      </w:pPr>
      <w:r>
        <w:rPr>
          <w:lang w:val="en"/>
        </w:rPr>
        <w:t>Stephenson Cancer Center</w:t>
      </w:r>
      <w:r w:rsidRPr="004C19F9">
        <w:rPr>
          <w:b/>
          <w:bCs/>
        </w:rPr>
        <w:t xml:space="preserve"> Molecular Imaging Core</w:t>
      </w:r>
    </w:p>
    <w:p w14:paraId="5BE9EFAF" w14:textId="77777777" w:rsidR="00BB1896" w:rsidRPr="004C19F9" w:rsidRDefault="00BB1896" w:rsidP="00BB1896">
      <w:pPr>
        <w:ind w:left="360"/>
      </w:pPr>
      <w:r w:rsidRPr="004C19F9">
        <w:rPr>
          <w:b/>
          <w:bCs/>
        </w:rPr>
        <w:t>Equipment</w:t>
      </w:r>
    </w:p>
    <w:p w14:paraId="389D02D0" w14:textId="77777777" w:rsidR="00BB1896" w:rsidRPr="004C19F9" w:rsidRDefault="00BB1896" w:rsidP="00BB1896">
      <w:pPr>
        <w:numPr>
          <w:ilvl w:val="0"/>
          <w:numId w:val="8"/>
        </w:numPr>
      </w:pPr>
      <w:r w:rsidRPr="004C19F9">
        <w:t>Vevo 2100 Ultrasound Imaging Machine</w:t>
      </w:r>
    </w:p>
    <w:p w14:paraId="7A81B129" w14:textId="77777777" w:rsidR="00BB1896" w:rsidRPr="004C19F9" w:rsidRDefault="00BB1896" w:rsidP="00BB1896">
      <w:pPr>
        <w:numPr>
          <w:ilvl w:val="0"/>
          <w:numId w:val="8"/>
        </w:numPr>
      </w:pPr>
      <w:r w:rsidRPr="004C19F9">
        <w:t>IVIS Spectrum Imaging System</w:t>
      </w:r>
    </w:p>
    <w:p w14:paraId="5C767CA9" w14:textId="77777777" w:rsidR="00BB1896" w:rsidRPr="004C19F9" w:rsidRDefault="00BB1896" w:rsidP="00BB1896">
      <w:pPr>
        <w:numPr>
          <w:ilvl w:val="0"/>
          <w:numId w:val="8"/>
        </w:numPr>
      </w:pPr>
      <w:r w:rsidRPr="004C19F9">
        <w:t>Carestream In-Vivo Xtreme Imaging System</w:t>
      </w:r>
    </w:p>
    <w:p w14:paraId="48994885" w14:textId="77777777" w:rsidR="00BB1896" w:rsidRPr="004C19F9" w:rsidRDefault="00BB1896" w:rsidP="00BB1896">
      <w:pPr>
        <w:numPr>
          <w:ilvl w:val="0"/>
          <w:numId w:val="8"/>
        </w:numPr>
      </w:pPr>
      <w:r w:rsidRPr="004C19F9">
        <w:t>Leica Fluorescence Stereo Microscope</w:t>
      </w:r>
    </w:p>
    <w:p w14:paraId="3B7FEA16" w14:textId="77777777" w:rsidR="00BB1896" w:rsidRPr="004C19F9" w:rsidRDefault="00BB1896" w:rsidP="00BB1896">
      <w:pPr>
        <w:numPr>
          <w:ilvl w:val="0"/>
          <w:numId w:val="8"/>
        </w:numPr>
      </w:pPr>
      <w:r w:rsidRPr="004C19F9">
        <w:t>INVIVO 400 and 500 Hypoxia Workstations</w:t>
      </w:r>
    </w:p>
    <w:p w14:paraId="64891156" w14:textId="03050C80" w:rsidR="00BB1896" w:rsidRDefault="00BB1896" w:rsidP="008F4101"/>
    <w:p w14:paraId="73BD4637" w14:textId="3F3BA345" w:rsidR="00337325" w:rsidRDefault="00337325" w:rsidP="008F4101"/>
    <w:p w14:paraId="2C43F47E" w14:textId="77777777" w:rsidR="00337325" w:rsidRPr="00781FD3" w:rsidRDefault="00337325" w:rsidP="00337325">
      <w:pPr>
        <w:rPr>
          <w:b/>
          <w:u w:val="single"/>
        </w:rPr>
      </w:pPr>
      <w:r w:rsidRPr="00781FD3">
        <w:rPr>
          <w:b/>
          <w:u w:val="single"/>
        </w:rPr>
        <w:t>Research Imaging Facility, College of Pharmacy</w:t>
      </w:r>
    </w:p>
    <w:p w14:paraId="24C5EBD5" w14:textId="7A4460D6" w:rsidR="00337325" w:rsidRPr="00337325" w:rsidRDefault="00337325" w:rsidP="00337325">
      <w:r w:rsidRPr="00337325">
        <w:t>The OU Research Imaging Facility is equipped with a world-first Biomarker Generator, Positron Emission Tomography (PET), Computed Tomography, and Single Photon Emission Computed Tomography (SPECT) machines.</w:t>
      </w:r>
    </w:p>
    <w:p w14:paraId="57F50978" w14:textId="77777777" w:rsidR="00337325" w:rsidRPr="00337325" w:rsidRDefault="00337325" w:rsidP="00337325">
      <w:r w:rsidRPr="00337325">
        <w:t>The PET/CT system has a capability of acquiring both CT and PET imaging by using the same scanner bed. The ultimate result is tracing a marker within an anatomical model, which allows the researcher to record the effect of certain drugs.</w:t>
      </w:r>
    </w:p>
    <w:p w14:paraId="6E79182F" w14:textId="77777777" w:rsidR="00337325" w:rsidRPr="00337325" w:rsidRDefault="00337325" w:rsidP="00337325">
      <w:r w:rsidRPr="00337325">
        <w:t xml:space="preserve">The Single Photon Emission Tomography (SPECT) machine comes with dual detectors and a maximum resolution of less than 1 mm. Because of its high energy resolution, the </w:t>
      </w:r>
      <w:proofErr w:type="spellStart"/>
      <w:r w:rsidRPr="00337325">
        <w:t>NanoSPECT</w:t>
      </w:r>
      <w:proofErr w:type="spellEnd"/>
      <w:r w:rsidRPr="00337325">
        <w:t xml:space="preserve"> machine is capable of imaging multiple isotopes together, including I-125 radionuclide.</w:t>
      </w:r>
    </w:p>
    <w:p w14:paraId="6DF35F36" w14:textId="46075E44" w:rsidR="00337325" w:rsidRDefault="00337325" w:rsidP="008F4101"/>
    <w:p w14:paraId="3FE901E0" w14:textId="77777777" w:rsidR="00337325" w:rsidRPr="00337325" w:rsidRDefault="00337325" w:rsidP="00337325">
      <w:r w:rsidRPr="00337325">
        <w:t>Our Biomarker Generator supports PET imaging activities at the OU Research Imaging Facility. It has the capability to produce a single dose of a radioactive biomarker at the push of a button and is finished in about 30 minutes. It also takes up one-fifth the space of a commercial cyclotron.</w:t>
      </w:r>
    </w:p>
    <w:p w14:paraId="23B81E09" w14:textId="7BF507A8" w:rsidR="00337325" w:rsidRDefault="00337325" w:rsidP="008F4101"/>
    <w:p w14:paraId="7B968763" w14:textId="7B8C8C65" w:rsidR="000503DA" w:rsidRDefault="000503DA" w:rsidP="008F4101"/>
    <w:p w14:paraId="25BF02D5" w14:textId="6A5D0ECF" w:rsidR="000503DA" w:rsidRPr="00781FD3" w:rsidRDefault="00781FD3" w:rsidP="000503DA">
      <w:pPr>
        <w:rPr>
          <w:b/>
          <w:bCs/>
          <w:u w:val="single"/>
        </w:rPr>
      </w:pPr>
      <w:r w:rsidRPr="00781FD3">
        <w:rPr>
          <w:b/>
          <w:u w:val="single"/>
        </w:rPr>
        <w:t>Dean McGee Eye Institute</w:t>
      </w:r>
      <w:r w:rsidRPr="00781FD3">
        <w:rPr>
          <w:b/>
          <w:bCs/>
          <w:u w:val="single"/>
        </w:rPr>
        <w:t xml:space="preserve"> </w:t>
      </w:r>
      <w:r w:rsidR="000503DA" w:rsidRPr="00781FD3">
        <w:rPr>
          <w:b/>
          <w:bCs/>
          <w:u w:val="single"/>
        </w:rPr>
        <w:t>Cellular Imaging Module</w:t>
      </w:r>
    </w:p>
    <w:p w14:paraId="2BDC739B" w14:textId="67DFECDB" w:rsidR="000503DA" w:rsidRPr="00014DDB" w:rsidRDefault="000503DA" w:rsidP="000503DA">
      <w:r w:rsidRPr="00014DDB">
        <w:t xml:space="preserve">The facility </w:t>
      </w:r>
      <w:r>
        <w:t xml:space="preserve">has an </w:t>
      </w:r>
      <w:r w:rsidRPr="00014DDB">
        <w:t xml:space="preserve">Olympus MVX10, a </w:t>
      </w:r>
      <w:proofErr w:type="spellStart"/>
      <w:r w:rsidRPr="00014DDB">
        <w:t>macroview</w:t>
      </w:r>
      <w:proofErr w:type="spellEnd"/>
      <w:r w:rsidRPr="00014DDB">
        <w:t xml:space="preserve">-fluorescence microscope system, and the Olympus FV1200 confocal system.  The FV1200 is equipped with all </w:t>
      </w:r>
      <w:proofErr w:type="gramStart"/>
      <w:r w:rsidRPr="00014DDB">
        <w:t>solid state</w:t>
      </w:r>
      <w:proofErr w:type="gramEnd"/>
      <w:r w:rsidRPr="00014DDB">
        <w:t xml:space="preserve"> laser diodes which are stable, long lasting, and energy efficient.  The stage is designed to accommodate an environmental chamber for live cell/tissue imaging.  It is also outfitted with the ultra-sensitive </w:t>
      </w:r>
      <w:proofErr w:type="spellStart"/>
      <w:r w:rsidRPr="00014DDB">
        <w:t>GaAsP</w:t>
      </w:r>
      <w:proofErr w:type="spellEnd"/>
      <w:r w:rsidRPr="00014DDB">
        <w:t xml:space="preserve"> detectors for low signal imaging.  The MVX10 system is equipped with a fully motorized stage and the </w:t>
      </w:r>
      <w:proofErr w:type="spellStart"/>
      <w:r w:rsidRPr="00014DDB">
        <w:t>CellSens</w:t>
      </w:r>
      <w:proofErr w:type="spellEnd"/>
      <w:r w:rsidRPr="00014DDB">
        <w:t xml:space="preserve"> software for creating stack images and large montages using the multiple image alignment function of the software.  Users can create bright-field and fluorescence images of up to 20X objective equivalent resolution images of flat mount tissues such as retinas and corneas. Also housed in this module is a Leica cryostat for sectioning, Nikon E400 and E800 microscopes, and review stations for </w:t>
      </w:r>
      <w:proofErr w:type="spellStart"/>
      <w:r w:rsidRPr="00014DDB">
        <w:t>Fluoview</w:t>
      </w:r>
      <w:proofErr w:type="spellEnd"/>
      <w:r w:rsidRPr="00014DDB">
        <w:t xml:space="preserve"> and </w:t>
      </w:r>
      <w:proofErr w:type="spellStart"/>
      <w:r w:rsidRPr="00014DDB">
        <w:t>Metamorph</w:t>
      </w:r>
      <w:proofErr w:type="spellEnd"/>
      <w:r w:rsidRPr="00014DDB">
        <w:t xml:space="preserve"> applications.</w:t>
      </w:r>
    </w:p>
    <w:p w14:paraId="75557417" w14:textId="77777777" w:rsidR="000503DA" w:rsidRPr="00014DDB" w:rsidRDefault="000503DA" w:rsidP="000503DA">
      <w:r w:rsidRPr="00014DDB">
        <w:t xml:space="preserve">Each location contains a complement of the following instruments used in analyzing vision in small animal models: </w:t>
      </w:r>
      <w:proofErr w:type="spellStart"/>
      <w:r w:rsidRPr="00014DDB">
        <w:t>Diagnosys</w:t>
      </w:r>
      <w:proofErr w:type="spellEnd"/>
      <w:r w:rsidRPr="00014DDB">
        <w:t xml:space="preserve"> Electroretinography Systems, </w:t>
      </w:r>
      <w:proofErr w:type="spellStart"/>
      <w:r w:rsidRPr="00014DDB">
        <w:t>Bioptigen</w:t>
      </w:r>
      <w:proofErr w:type="spellEnd"/>
      <w:r w:rsidRPr="00014DDB">
        <w:t xml:space="preserve"> SD Optical Coherence Tomography, </w:t>
      </w:r>
      <w:proofErr w:type="spellStart"/>
      <w:r w:rsidRPr="00014DDB">
        <w:t>Optomotry</w:t>
      </w:r>
      <w:proofErr w:type="spellEnd"/>
      <w:r w:rsidRPr="00014DDB">
        <w:t xml:space="preserve">, Microns III and IV with slit lamp and laser attachments, Zeiss operating microscopes with </w:t>
      </w:r>
      <w:proofErr w:type="spellStart"/>
      <w:r w:rsidRPr="00014DDB">
        <w:t>MindStream</w:t>
      </w:r>
      <w:proofErr w:type="spellEnd"/>
      <w:r w:rsidRPr="00014DDB">
        <w:t xml:space="preserve"> imaging, various support and portable vision analysis equipment, and environmental housing, including dark adaptation, dark rearing, light damage housing, and oxygen and humidity chamber housing.</w:t>
      </w:r>
    </w:p>
    <w:p w14:paraId="59F2F36E" w14:textId="77777777" w:rsidR="000503DA" w:rsidRDefault="000503DA" w:rsidP="008F4101"/>
    <w:sectPr w:rsidR="000503DA" w:rsidSect="0089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00F4"/>
    <w:multiLevelType w:val="multilevel"/>
    <w:tmpl w:val="6338B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B3A14"/>
    <w:multiLevelType w:val="multilevel"/>
    <w:tmpl w:val="98CEA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2492A"/>
    <w:multiLevelType w:val="multilevel"/>
    <w:tmpl w:val="38FED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D2718"/>
    <w:multiLevelType w:val="hybridMultilevel"/>
    <w:tmpl w:val="EA7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754"/>
    <w:multiLevelType w:val="multilevel"/>
    <w:tmpl w:val="7C3A1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44A45"/>
    <w:multiLevelType w:val="multilevel"/>
    <w:tmpl w:val="F83A5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766EE"/>
    <w:multiLevelType w:val="multilevel"/>
    <w:tmpl w:val="25408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35DD6"/>
    <w:multiLevelType w:val="multilevel"/>
    <w:tmpl w:val="42D0A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22"/>
    <w:rsid w:val="000106D8"/>
    <w:rsid w:val="00021655"/>
    <w:rsid w:val="0002389F"/>
    <w:rsid w:val="00024E30"/>
    <w:rsid w:val="000503DA"/>
    <w:rsid w:val="000525F2"/>
    <w:rsid w:val="00064A8F"/>
    <w:rsid w:val="00082638"/>
    <w:rsid w:val="00084AEB"/>
    <w:rsid w:val="000872D2"/>
    <w:rsid w:val="000939DE"/>
    <w:rsid w:val="00097E49"/>
    <w:rsid w:val="00102F41"/>
    <w:rsid w:val="0012513D"/>
    <w:rsid w:val="00141977"/>
    <w:rsid w:val="00182BC4"/>
    <w:rsid w:val="001970D2"/>
    <w:rsid w:val="001B6FA6"/>
    <w:rsid w:val="001C74FA"/>
    <w:rsid w:val="001E6A91"/>
    <w:rsid w:val="001F77EF"/>
    <w:rsid w:val="00200D4E"/>
    <w:rsid w:val="00215346"/>
    <w:rsid w:val="00243E08"/>
    <w:rsid w:val="0025625B"/>
    <w:rsid w:val="00264AD9"/>
    <w:rsid w:val="00295FFF"/>
    <w:rsid w:val="002B7D61"/>
    <w:rsid w:val="002C380A"/>
    <w:rsid w:val="002E00AA"/>
    <w:rsid w:val="00307072"/>
    <w:rsid w:val="003132C3"/>
    <w:rsid w:val="003371FB"/>
    <w:rsid w:val="00337325"/>
    <w:rsid w:val="003376E3"/>
    <w:rsid w:val="0037592A"/>
    <w:rsid w:val="003966E9"/>
    <w:rsid w:val="003C4C64"/>
    <w:rsid w:val="003C55AB"/>
    <w:rsid w:val="003D2675"/>
    <w:rsid w:val="003D4C0E"/>
    <w:rsid w:val="004204F2"/>
    <w:rsid w:val="004278CC"/>
    <w:rsid w:val="00433181"/>
    <w:rsid w:val="00460444"/>
    <w:rsid w:val="00464536"/>
    <w:rsid w:val="00477A35"/>
    <w:rsid w:val="004A41CF"/>
    <w:rsid w:val="004B1E03"/>
    <w:rsid w:val="004C3325"/>
    <w:rsid w:val="004C46F1"/>
    <w:rsid w:val="004C4EE6"/>
    <w:rsid w:val="004E259E"/>
    <w:rsid w:val="004F2F5A"/>
    <w:rsid w:val="00505411"/>
    <w:rsid w:val="00515F90"/>
    <w:rsid w:val="00516009"/>
    <w:rsid w:val="005232D3"/>
    <w:rsid w:val="00562E7B"/>
    <w:rsid w:val="00574F2C"/>
    <w:rsid w:val="00576D7D"/>
    <w:rsid w:val="00580345"/>
    <w:rsid w:val="0059202F"/>
    <w:rsid w:val="005A1226"/>
    <w:rsid w:val="005D22ED"/>
    <w:rsid w:val="00640C13"/>
    <w:rsid w:val="00644319"/>
    <w:rsid w:val="00664989"/>
    <w:rsid w:val="0069149D"/>
    <w:rsid w:val="006A4AB8"/>
    <w:rsid w:val="006B6783"/>
    <w:rsid w:val="006C5F8B"/>
    <w:rsid w:val="006E328F"/>
    <w:rsid w:val="006F233C"/>
    <w:rsid w:val="006F4D2C"/>
    <w:rsid w:val="00715538"/>
    <w:rsid w:val="007259A5"/>
    <w:rsid w:val="007476E2"/>
    <w:rsid w:val="007575A9"/>
    <w:rsid w:val="00767801"/>
    <w:rsid w:val="007701F6"/>
    <w:rsid w:val="00773F37"/>
    <w:rsid w:val="007761B7"/>
    <w:rsid w:val="00781B6D"/>
    <w:rsid w:val="00781FD3"/>
    <w:rsid w:val="00795038"/>
    <w:rsid w:val="007B259D"/>
    <w:rsid w:val="007D2669"/>
    <w:rsid w:val="007D7EC0"/>
    <w:rsid w:val="00804DD9"/>
    <w:rsid w:val="00832166"/>
    <w:rsid w:val="00833500"/>
    <w:rsid w:val="00835DB6"/>
    <w:rsid w:val="00850901"/>
    <w:rsid w:val="008839E8"/>
    <w:rsid w:val="00885536"/>
    <w:rsid w:val="0088667A"/>
    <w:rsid w:val="00891FAE"/>
    <w:rsid w:val="008934D8"/>
    <w:rsid w:val="008A76C0"/>
    <w:rsid w:val="008B4795"/>
    <w:rsid w:val="008B5E9D"/>
    <w:rsid w:val="008B797B"/>
    <w:rsid w:val="008C5999"/>
    <w:rsid w:val="008D4205"/>
    <w:rsid w:val="008E2B9E"/>
    <w:rsid w:val="008F4101"/>
    <w:rsid w:val="008F7F2C"/>
    <w:rsid w:val="0091102A"/>
    <w:rsid w:val="00915622"/>
    <w:rsid w:val="00922C0E"/>
    <w:rsid w:val="00930460"/>
    <w:rsid w:val="00932449"/>
    <w:rsid w:val="0094365A"/>
    <w:rsid w:val="009709BF"/>
    <w:rsid w:val="00985FDB"/>
    <w:rsid w:val="00990AA2"/>
    <w:rsid w:val="00991312"/>
    <w:rsid w:val="00994B03"/>
    <w:rsid w:val="009A2ED0"/>
    <w:rsid w:val="009B11BC"/>
    <w:rsid w:val="009D0F59"/>
    <w:rsid w:val="009D281C"/>
    <w:rsid w:val="009D43C7"/>
    <w:rsid w:val="009E0D63"/>
    <w:rsid w:val="009F4A79"/>
    <w:rsid w:val="00A24902"/>
    <w:rsid w:val="00A57ED4"/>
    <w:rsid w:val="00A63EB1"/>
    <w:rsid w:val="00A66F3C"/>
    <w:rsid w:val="00A77254"/>
    <w:rsid w:val="00A821CF"/>
    <w:rsid w:val="00AA4E8B"/>
    <w:rsid w:val="00AB22CD"/>
    <w:rsid w:val="00AB52A0"/>
    <w:rsid w:val="00AC0C8C"/>
    <w:rsid w:val="00AC2051"/>
    <w:rsid w:val="00AE3CFF"/>
    <w:rsid w:val="00AF6498"/>
    <w:rsid w:val="00B06CAD"/>
    <w:rsid w:val="00B26302"/>
    <w:rsid w:val="00B328CF"/>
    <w:rsid w:val="00B334EF"/>
    <w:rsid w:val="00B4491A"/>
    <w:rsid w:val="00B474A9"/>
    <w:rsid w:val="00B62211"/>
    <w:rsid w:val="00B71AD6"/>
    <w:rsid w:val="00BA7E02"/>
    <w:rsid w:val="00BB1896"/>
    <w:rsid w:val="00BF15BB"/>
    <w:rsid w:val="00BF71BB"/>
    <w:rsid w:val="00C06528"/>
    <w:rsid w:val="00C4423D"/>
    <w:rsid w:val="00CA4304"/>
    <w:rsid w:val="00CB2151"/>
    <w:rsid w:val="00CB44C2"/>
    <w:rsid w:val="00CD5949"/>
    <w:rsid w:val="00CE4F8E"/>
    <w:rsid w:val="00CF0F8D"/>
    <w:rsid w:val="00D0072B"/>
    <w:rsid w:val="00D22D49"/>
    <w:rsid w:val="00D46D60"/>
    <w:rsid w:val="00D64457"/>
    <w:rsid w:val="00D75459"/>
    <w:rsid w:val="00D75797"/>
    <w:rsid w:val="00D766CD"/>
    <w:rsid w:val="00DA4CBD"/>
    <w:rsid w:val="00DB1158"/>
    <w:rsid w:val="00DB4781"/>
    <w:rsid w:val="00DB7BF0"/>
    <w:rsid w:val="00DD00F0"/>
    <w:rsid w:val="00DD699A"/>
    <w:rsid w:val="00DE5581"/>
    <w:rsid w:val="00E22C91"/>
    <w:rsid w:val="00E3591E"/>
    <w:rsid w:val="00E4323C"/>
    <w:rsid w:val="00E57608"/>
    <w:rsid w:val="00E714B2"/>
    <w:rsid w:val="00EC118D"/>
    <w:rsid w:val="00EE014B"/>
    <w:rsid w:val="00F13BCA"/>
    <w:rsid w:val="00F266DF"/>
    <w:rsid w:val="00F3334A"/>
    <w:rsid w:val="00F44944"/>
    <w:rsid w:val="00F44E89"/>
    <w:rsid w:val="00F525C5"/>
    <w:rsid w:val="00F55E3A"/>
    <w:rsid w:val="00F7741A"/>
    <w:rsid w:val="00F942C0"/>
    <w:rsid w:val="00F9713E"/>
    <w:rsid w:val="00FB0D1F"/>
    <w:rsid w:val="00FD64FC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0CA47"/>
  <w15:chartTrackingRefBased/>
  <w15:docId w15:val="{2AE27C9C-63ED-9144-B338-DB96632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254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F9713E"/>
    <w:rPr>
      <w:rFonts w:cstheme="minorBidi"/>
      <w:sz w:val="24"/>
    </w:rPr>
  </w:style>
  <w:style w:type="character" w:customStyle="1" w:styleId="CommentTextChar">
    <w:name w:val="Comment Text Char"/>
    <w:link w:val="CommentText"/>
    <w:uiPriority w:val="99"/>
    <w:semiHidden/>
    <w:rsid w:val="00F9713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D281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2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2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8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medicine.com/department-of-biochemistry-and-molecular-biology/department-facilities/www.phenix-onl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l-xray.com/" TargetMode="External"/><Relationship Id="rId12" Type="http://schemas.openxmlformats.org/officeDocument/2006/relationships/hyperlink" Target="http://www.cgl.ucsf.edu/chim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ds.mpimf-heidelberg.mpg.de/html_doc/XDS.html" TargetMode="External"/><Relationship Id="rId11" Type="http://schemas.openxmlformats.org/officeDocument/2006/relationships/hyperlink" Target="http://www2.mrc-lmb.cam.ac.uk/Personal/pemsley/coot/" TargetMode="External"/><Relationship Id="rId5" Type="http://schemas.openxmlformats.org/officeDocument/2006/relationships/hyperlink" Target="http://www.rigaku.com/en/products/protein/dtrek" TargetMode="External"/><Relationship Id="rId10" Type="http://schemas.openxmlformats.org/officeDocument/2006/relationships/hyperlink" Target="http://www.oumedicine.com/department-of-biochemistry-and-molecular-biology/department-facilities/cns-online.org/v1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p4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Air</dc:creator>
  <cp:keywords/>
  <dc:description/>
  <cp:lastModifiedBy>Gillian Air</cp:lastModifiedBy>
  <cp:revision>9</cp:revision>
  <dcterms:created xsi:type="dcterms:W3CDTF">2019-07-26T21:06:00Z</dcterms:created>
  <dcterms:modified xsi:type="dcterms:W3CDTF">2019-07-31T22:37:00Z</dcterms:modified>
</cp:coreProperties>
</file>